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47C" w:rsidRPr="00E5347C" w:rsidRDefault="00E5347C" w:rsidP="00E5347C">
      <w:pPr>
        <w:jc w:val="both"/>
        <w:rPr>
          <w:b/>
          <w:sz w:val="28"/>
          <w:szCs w:val="28"/>
        </w:rPr>
      </w:pPr>
      <w:r w:rsidRPr="00E5347C">
        <w:rPr>
          <w:b/>
          <w:sz w:val="28"/>
          <w:szCs w:val="28"/>
        </w:rPr>
        <w:t>PŘÍLOHA K NABÍDCE</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t>1.1.2.4 Jméno (název)</w:t>
      </w:r>
      <w:r w:rsidR="00582C15">
        <w:t xml:space="preserve"> a </w:t>
      </w:r>
      <w:r>
        <w:t>adresa Správce stavby</w:t>
      </w:r>
    </w:p>
    <w:p w:rsidR="006873C7" w:rsidRDefault="006873C7" w:rsidP="005B7883">
      <w:pPr>
        <w:pStyle w:val="Nadpisbezsl1-2"/>
        <w:rPr>
          <w:rStyle w:val="Hypertextovodkaz"/>
          <w:rFonts w:asciiTheme="minorHAnsi" w:hAnsiTheme="minorHAnsi"/>
          <w:b w:val="0"/>
          <w:noProof w:val="0"/>
          <w:sz w:val="18"/>
          <w:szCs w:val="18"/>
        </w:rPr>
      </w:pPr>
      <w:r>
        <w:rPr>
          <w:rFonts w:asciiTheme="minorHAnsi" w:hAnsiTheme="minorHAnsi"/>
          <w:b w:val="0"/>
          <w:sz w:val="18"/>
          <w:szCs w:val="18"/>
        </w:rPr>
        <w:t>Ing. Jan Andratschke</w:t>
      </w:r>
      <w:r w:rsidRPr="006873C7">
        <w:rPr>
          <w:rFonts w:asciiTheme="minorHAnsi" w:hAnsiTheme="minorHAnsi"/>
          <w:b w:val="0"/>
          <w:sz w:val="18"/>
          <w:szCs w:val="18"/>
        </w:rPr>
        <w:t>, tel: +420</w:t>
      </w:r>
      <w:r>
        <w:rPr>
          <w:rFonts w:asciiTheme="minorHAnsi" w:hAnsiTheme="minorHAnsi"/>
          <w:b w:val="0"/>
          <w:sz w:val="18"/>
          <w:szCs w:val="18"/>
        </w:rPr>
        <w:t> 724 932 330</w:t>
      </w:r>
      <w:r w:rsidRPr="006873C7">
        <w:rPr>
          <w:rFonts w:asciiTheme="minorHAnsi" w:hAnsiTheme="minorHAnsi"/>
          <w:b w:val="0"/>
          <w:sz w:val="18"/>
          <w:szCs w:val="18"/>
        </w:rPr>
        <w:t xml:space="preserve">, e-mail: </w:t>
      </w:r>
      <w:hyperlink r:id="rId12" w:history="1">
        <w:r w:rsidRPr="00211D20">
          <w:rPr>
            <w:rStyle w:val="Hypertextovodkaz"/>
            <w:rFonts w:asciiTheme="minorHAnsi" w:hAnsiTheme="minorHAnsi"/>
            <w:b w:val="0"/>
            <w:noProof w:val="0"/>
            <w:sz w:val="18"/>
            <w:szCs w:val="18"/>
          </w:rPr>
          <w:t>Andratschke@szdc.cz</w:t>
        </w:r>
      </w:hyperlink>
    </w:p>
    <w:p w:rsidR="006946D9" w:rsidRPr="006946D9" w:rsidRDefault="006946D9" w:rsidP="006946D9">
      <w:pPr>
        <w:pStyle w:val="Bezmezer"/>
        <w:jc w:val="both"/>
      </w:pPr>
      <w:r w:rsidRPr="006946D9">
        <w:t>Správa železniční dopravní cesty, státní organizace</w:t>
      </w:r>
    </w:p>
    <w:p w:rsidR="006946D9" w:rsidRDefault="006946D9" w:rsidP="006946D9">
      <w:pPr>
        <w:pStyle w:val="Bezmezer"/>
        <w:jc w:val="both"/>
      </w:pPr>
      <w:r w:rsidRPr="006946D9">
        <w:t>Stavební správa východ</w:t>
      </w:r>
    </w:p>
    <w:p w:rsidR="006946D9" w:rsidRDefault="006946D9" w:rsidP="006946D9">
      <w:pPr>
        <w:pStyle w:val="Bezmezer"/>
        <w:jc w:val="both"/>
      </w:pPr>
      <w:r>
        <w:t>Nerudova 1</w:t>
      </w:r>
    </w:p>
    <w:p w:rsidR="006946D9" w:rsidRPr="006946D9" w:rsidRDefault="006946D9" w:rsidP="006946D9">
      <w:pPr>
        <w:pStyle w:val="Bezmezer"/>
        <w:jc w:val="both"/>
      </w:pPr>
      <w:r>
        <w:t>779 00 Olomouc</w:t>
      </w:r>
    </w:p>
    <w:p w:rsidR="00C96E7C" w:rsidRDefault="00C96E7C" w:rsidP="005B7883">
      <w:pPr>
        <w:pStyle w:val="Nadpisbezsl1-2"/>
      </w:pPr>
      <w:r>
        <w:t>1.1.3.7 Záruční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4C4830" w:rsidRDefault="004C4830" w:rsidP="005B7883">
      <w:pPr>
        <w:pStyle w:val="Textbezodsazen"/>
      </w:pPr>
    </w:p>
    <w:p w:rsidR="00EC63FF" w:rsidRDefault="00EC63FF" w:rsidP="005B7883">
      <w:pPr>
        <w:pStyle w:val="Textbezodsazen"/>
      </w:pPr>
    </w:p>
    <w:p w:rsidR="004C4830" w:rsidRDefault="004C4830" w:rsidP="005B7883">
      <w:pPr>
        <w:pStyle w:val="Textbezodsazen"/>
      </w:pPr>
    </w:p>
    <w:p w:rsidR="0012024F" w:rsidRDefault="0012024F" w:rsidP="005B7883">
      <w:pPr>
        <w:pStyle w:val="Textbezodsazen"/>
      </w:pPr>
    </w:p>
    <w:p w:rsidR="0012024F" w:rsidRDefault="0012024F" w:rsidP="005B7883">
      <w:pPr>
        <w:pStyle w:val="Textbezodsazen"/>
      </w:pPr>
    </w:p>
    <w:p w:rsidR="00C96E7C" w:rsidRDefault="00C96E7C" w:rsidP="005B7883">
      <w:pPr>
        <w:pStyle w:val="Nadpisbezsl1-2"/>
      </w:pPr>
      <w:r>
        <w:t>1.1.5.6 Definice sekcí</w:t>
      </w:r>
    </w:p>
    <w:p w:rsidR="00C96E7C" w:rsidRDefault="00C96E7C" w:rsidP="00C732F0">
      <w:pPr>
        <w:pStyle w:val="Bezmezer"/>
        <w:jc w:val="both"/>
      </w:pPr>
      <w:r w:rsidRPr="006873C7">
        <w:t>Sekce nejsou specifikovány. Je-li termín Sekce</w:t>
      </w:r>
      <w:r w:rsidR="00582C15" w:rsidRPr="006873C7">
        <w:t xml:space="preserve"> v </w:t>
      </w:r>
      <w:r w:rsidRPr="006873C7">
        <w:t>textu smluvních dokumentů použit, je tím míněna část Díla vyplývající</w:t>
      </w:r>
      <w:r w:rsidR="00582C15" w:rsidRPr="006873C7">
        <w:t xml:space="preserve"> z </w:t>
      </w:r>
      <w:r w:rsidRPr="006873C7">
        <w:t>harmonogramu podle pod-článku 8.3 [Harmonogram].</w:t>
      </w: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6873C7" w:rsidRPr="006873C7">
        <w:t>uccchjm</w:t>
      </w:r>
      <w:proofErr w:type="spellEnd"/>
      <w:r w:rsidR="006873C7">
        <w:t xml:space="preserve">, </w:t>
      </w:r>
      <w:r>
        <w:t>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rsidR="00C96E7C" w:rsidRDefault="00C96E7C" w:rsidP="005D168C">
      <w:pPr>
        <w:pStyle w:val="Nadpisbezsl1-2"/>
      </w:pPr>
      <w:r>
        <w:t>1.4</w:t>
      </w:r>
      <w:r w:rsidR="005D168C">
        <w:t xml:space="preserve"> </w:t>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1.4 Rozhodující jazyk</w:t>
      </w:r>
    </w:p>
    <w:p w:rsidR="00C96E7C" w:rsidRDefault="00C96E7C" w:rsidP="005D168C">
      <w:pPr>
        <w:pStyle w:val="Textbezodsazen"/>
      </w:pPr>
      <w:r>
        <w:t>Rozhodujícím jazykem je český jazyk.</w:t>
      </w:r>
    </w:p>
    <w:p w:rsidR="00C96E7C" w:rsidRDefault="00C96E7C" w:rsidP="005B7883">
      <w:pPr>
        <w:pStyle w:val="Nadpisbezsl1-2"/>
      </w:pPr>
      <w:r>
        <w:t>1.4 Komunikační jazyk</w:t>
      </w:r>
    </w:p>
    <w:p w:rsidR="00C96E7C" w:rsidRDefault="00C96E7C" w:rsidP="005D168C">
      <w:pPr>
        <w:pStyle w:val="Textbezodsazen"/>
      </w:pPr>
      <w:r>
        <w:t>Komunikačním jazykem je český jazyk.</w:t>
      </w:r>
    </w:p>
    <w:p w:rsidR="00C96E7C" w:rsidRDefault="00C96E7C" w:rsidP="005B7883">
      <w:pPr>
        <w:pStyle w:val="Nadpisbezsl1-2"/>
      </w:pPr>
      <w:r>
        <w:t>1.14 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r>
        <w:t>2.1 Právo přístupu na staveniště</w:t>
      </w:r>
    </w:p>
    <w:p w:rsidR="00C96E7C" w:rsidRDefault="00C96E7C" w:rsidP="005D168C">
      <w:pPr>
        <w:pStyle w:val="Textbezodsazen"/>
      </w:pPr>
      <w:r>
        <w:t>Přístup na Staveniš</w:t>
      </w:r>
      <w:r w:rsidR="006873C7">
        <w:t xml:space="preserve">tě bude Zhotoviteli umožněn od </w:t>
      </w:r>
      <w:r w:rsidR="006873C7" w:rsidRPr="006873C7">
        <w:t xml:space="preserve">(předpoklad </w:t>
      </w:r>
      <w:r w:rsidR="006873C7">
        <w:t>04/2020</w:t>
      </w:r>
      <w:r w:rsidR="006873C7" w:rsidRPr="006873C7">
        <w:t xml:space="preserve">) </w:t>
      </w:r>
      <w:r>
        <w:t>do dne předání Dokumentů souvisejících</w:t>
      </w:r>
      <w:r w:rsidR="00582C15">
        <w:t xml:space="preserve"> s </w:t>
      </w:r>
      <w:r>
        <w:t xml:space="preserve">předáním Díla dle pod-článku 7.9. </w:t>
      </w:r>
    </w:p>
    <w:p w:rsidR="00C96E7C" w:rsidRDefault="00C96E7C" w:rsidP="005B7883">
      <w:pPr>
        <w:pStyle w:val="Nadpisbezsl1-2"/>
      </w:pPr>
      <w:r>
        <w:t>2.3 Personál objednatele</w:t>
      </w:r>
    </w:p>
    <w:p w:rsidR="00C96E7C" w:rsidRDefault="00C96E7C" w:rsidP="005D168C">
      <w:pPr>
        <w:pStyle w:val="Textbezodsazen"/>
      </w:pPr>
      <w:r>
        <w:lastRenderedPageBreak/>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6946D9" w:rsidRPr="006946D9" w:rsidRDefault="006946D9" w:rsidP="006873C7">
      <w:pPr>
        <w:pStyle w:val="Textbezodsazen"/>
        <w:numPr>
          <w:ilvl w:val="0"/>
          <w:numId w:val="28"/>
        </w:numPr>
        <w:rPr>
          <w:bCs/>
          <w:u w:val="single"/>
        </w:rPr>
      </w:pPr>
      <w:r>
        <w:rPr>
          <w:bCs/>
        </w:rPr>
        <w:t xml:space="preserve">Ing. Miroslav Bocák, telefon: +420 606 780 184, e-mail: </w:t>
      </w:r>
      <w:hyperlink r:id="rId13" w:history="1">
        <w:r w:rsidRPr="00E21370">
          <w:rPr>
            <w:rStyle w:val="Hypertextovodkaz"/>
            <w:bCs/>
          </w:rPr>
          <w:t>bocak@szdc.cz</w:t>
        </w:r>
      </w:hyperlink>
    </w:p>
    <w:p w:rsidR="006873C7" w:rsidRDefault="006873C7" w:rsidP="006873C7">
      <w:pPr>
        <w:pStyle w:val="Textbezodsazen"/>
        <w:numPr>
          <w:ilvl w:val="0"/>
          <w:numId w:val="28"/>
        </w:numPr>
        <w:rPr>
          <w:bCs/>
          <w:u w:val="single"/>
        </w:rPr>
      </w:pPr>
      <w:r>
        <w:rPr>
          <w:bCs/>
        </w:rPr>
        <w:t xml:space="preserve">Mgr. Jan Hřídel, telefon: +420 724 932 362, e-mail: </w:t>
      </w:r>
      <w:hyperlink r:id="rId14" w:history="1">
        <w:r w:rsidRPr="00211D20">
          <w:rPr>
            <w:rStyle w:val="Hypertextovodkaz"/>
            <w:bCs/>
          </w:rPr>
          <w:t>Hridel@szdc.cz</w:t>
        </w:r>
      </w:hyperlink>
    </w:p>
    <w:p w:rsidR="006873C7" w:rsidRDefault="006873C7" w:rsidP="006946D9">
      <w:pPr>
        <w:pStyle w:val="Textbezodsazen"/>
        <w:rPr>
          <w:bCs/>
          <w:u w:val="single"/>
        </w:rPr>
      </w:pPr>
      <w:r>
        <w:rPr>
          <w:bCs/>
        </w:rPr>
        <w:t>Ve věcech technických (hlavní inženýr stavby):</w:t>
      </w:r>
    </w:p>
    <w:p w:rsidR="006873C7" w:rsidRDefault="006873C7" w:rsidP="006873C7">
      <w:pPr>
        <w:pStyle w:val="Textbezodsazen"/>
        <w:numPr>
          <w:ilvl w:val="0"/>
          <w:numId w:val="29"/>
        </w:numPr>
        <w:ind w:left="567" w:hanging="425"/>
        <w:rPr>
          <w:bCs/>
        </w:rPr>
      </w:pPr>
      <w:r>
        <w:rPr>
          <w:bCs/>
        </w:rPr>
        <w:t xml:space="preserve">Ing. Martin Grečnár, telefon: +420 724 550 166, e-mail: </w:t>
      </w:r>
      <w:hyperlink r:id="rId15" w:history="1">
        <w:r w:rsidRPr="00211D20">
          <w:rPr>
            <w:rStyle w:val="Hypertextovodkaz"/>
            <w:bCs/>
          </w:rPr>
          <w:t>Grecnar@szdc.cz</w:t>
        </w:r>
      </w:hyperlink>
    </w:p>
    <w:p w:rsidR="00071A0E" w:rsidRPr="006946D9" w:rsidRDefault="006946D9" w:rsidP="006946D9">
      <w:pPr>
        <w:pStyle w:val="Textbezodsazen"/>
        <w:rPr>
          <w:bCs/>
        </w:rPr>
      </w:pPr>
      <w:r>
        <w:rPr>
          <w:bCs/>
        </w:rPr>
        <w:t>Ú</w:t>
      </w:r>
      <w:r w:rsidR="00071A0E" w:rsidRPr="006946D9">
        <w:rPr>
          <w:bCs/>
        </w:rPr>
        <w:t>ředně oprávněný zeměměřický inženýr</w:t>
      </w:r>
    </w:p>
    <w:p w:rsidR="00D51C92" w:rsidRPr="006946D9" w:rsidRDefault="006946D9" w:rsidP="006946D9">
      <w:pPr>
        <w:pStyle w:val="Textbezodsazen"/>
        <w:numPr>
          <w:ilvl w:val="0"/>
          <w:numId w:val="29"/>
        </w:numPr>
        <w:ind w:left="567" w:hanging="425"/>
        <w:rPr>
          <w:bCs/>
        </w:rPr>
      </w:pPr>
      <w:r>
        <w:rPr>
          <w:bCs/>
        </w:rPr>
        <w:t xml:space="preserve">Ing. Jaroslav Eichler, telefon: +420 724 932 340, e-mail: </w:t>
      </w:r>
      <w:hyperlink r:id="rId16" w:history="1">
        <w:r w:rsidRPr="00E21370">
          <w:rPr>
            <w:rStyle w:val="Hypertextovodkaz"/>
            <w:bCs/>
          </w:rPr>
          <w:t>eichlerj@szdc.cz</w:t>
        </w:r>
      </w:hyperlink>
    </w:p>
    <w:p w:rsidR="006946D9" w:rsidRPr="006946D9" w:rsidRDefault="006946D9" w:rsidP="006946D9">
      <w:pPr>
        <w:pStyle w:val="Textbezodsazen"/>
        <w:rPr>
          <w:bCs/>
        </w:rPr>
      </w:pPr>
      <w:r>
        <w:rPr>
          <w:bCs/>
        </w:rPr>
        <w:t>K</w:t>
      </w:r>
      <w:r w:rsidRPr="006946D9">
        <w:rPr>
          <w:bCs/>
        </w:rPr>
        <w:t>valifikovaný pracovník pro výkon zeměměřických činností:</w:t>
      </w:r>
    </w:p>
    <w:p w:rsidR="006946D9" w:rsidRPr="006946D9" w:rsidRDefault="006946D9" w:rsidP="006946D9">
      <w:pPr>
        <w:pStyle w:val="Textbezodsazen"/>
        <w:numPr>
          <w:ilvl w:val="0"/>
          <w:numId w:val="29"/>
        </w:numPr>
        <w:ind w:left="567" w:hanging="425"/>
        <w:rPr>
          <w:bCs/>
        </w:rPr>
      </w:pPr>
      <w:r>
        <w:rPr>
          <w:bCs/>
        </w:rPr>
        <w:t xml:space="preserve">Dušan Kaizar, telefon: +420 724 932 294, e-mail: </w:t>
      </w:r>
      <w:hyperlink r:id="rId17" w:history="1">
        <w:r w:rsidRPr="00E21370">
          <w:rPr>
            <w:rStyle w:val="Hypertextovodkaz"/>
            <w:bCs/>
          </w:rPr>
          <w:t>kaizar@szdc.cz</w:t>
        </w:r>
      </w:hyperlink>
    </w:p>
    <w:p w:rsidR="00C96E7C" w:rsidRDefault="00C96E7C" w:rsidP="005B7883">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165CC9" w:rsidP="00165CC9">
      <w:pPr>
        <w:pStyle w:val="Nadpisbezsl1-2"/>
        <w:numPr>
          <w:ilvl w:val="1"/>
          <w:numId w:val="27"/>
        </w:numPr>
      </w:pPr>
      <w:r>
        <w:t xml:space="preserve"> </w:t>
      </w:r>
      <w:r w:rsidR="00C96E7C">
        <w:t>Zajištění splnění smlouvy</w:t>
      </w:r>
    </w:p>
    <w:p w:rsidR="00C96E7C" w:rsidRDefault="00C96E7C" w:rsidP="00165CC9">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w:t>
      </w:r>
      <w:r w:rsidRPr="00E41EEA">
        <w:rPr>
          <w:highlight w:val="yellow"/>
        </w:rPr>
        <w:t>VLOŽÍ ZHOTOVITE</w:t>
      </w:r>
      <w:r>
        <w:t>L]</w:t>
      </w:r>
    </w:p>
    <w:p w:rsidR="00C96E7C" w:rsidRPr="00071A0E" w:rsidRDefault="00C96E7C" w:rsidP="005D168C">
      <w:pPr>
        <w:pStyle w:val="Nadpisbezsl1-2"/>
        <w:rPr>
          <w:b w:val="0"/>
        </w:rPr>
      </w:pPr>
      <w:r w:rsidRPr="00165CC9">
        <w:t>4.27</w:t>
      </w:r>
      <w:r w:rsidRPr="00071A0E">
        <w:rPr>
          <w:b w:val="0"/>
        </w:rPr>
        <w:t xml:space="preserve"> </w:t>
      </w:r>
      <w:r w:rsidRPr="00165CC9">
        <w:t>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6873C7" w:rsidRDefault="00C96E7C" w:rsidP="005D168C">
      <w:pPr>
        <w:pStyle w:val="Textbezodsazen"/>
        <w:rPr>
          <w:rStyle w:val="Tun"/>
        </w:rPr>
      </w:pPr>
      <w:r w:rsidRPr="006873C7">
        <w:rPr>
          <w:rStyle w:val="Tun"/>
        </w:rPr>
        <w:t>Pod-článek 4.27 (d)</w:t>
      </w:r>
    </w:p>
    <w:p w:rsidR="00C96E7C" w:rsidRDefault="00C96E7C" w:rsidP="005D168C">
      <w:pPr>
        <w:pStyle w:val="Textbezodsazen"/>
      </w:pPr>
      <w:r w:rsidRPr="006873C7">
        <w:t>Zhotovitel je povinen uhradit smluvní pokutu ve výši 0,1 %</w:t>
      </w:r>
      <w:r w:rsidR="00582C15" w:rsidRPr="006873C7">
        <w:t xml:space="preserve"> z </w:t>
      </w:r>
      <w:r w:rsidRPr="006873C7">
        <w:t>části Smluvní ceny odpovídající příslušnému stavebnímu objektu nebo provoznímu souboru,</w:t>
      </w:r>
      <w:r w:rsidR="00582C15" w:rsidRPr="006873C7">
        <w:t xml:space="preserve"> s </w:t>
      </w:r>
      <w:r w:rsidRPr="006873C7">
        <w:t>j</w:t>
      </w:r>
      <w:r w:rsidR="008B01FE" w:rsidRPr="006873C7">
        <w:t>ehož dokončením je Zhotovitel</w:t>
      </w:r>
      <w:r w:rsidR="00582C15" w:rsidRPr="006873C7">
        <w:t xml:space="preserve"> v </w:t>
      </w:r>
      <w:r w:rsidRPr="006873C7">
        <w:t>prodlení,</w:t>
      </w:r>
      <w:r w:rsidR="00582C15" w:rsidRPr="006873C7">
        <w:t xml:space="preserve"> a </w:t>
      </w:r>
      <w:r w:rsidRPr="006873C7">
        <w:t>to za každý započatý den prodlení.</w:t>
      </w:r>
      <w:r>
        <w:t xml:space="preserve"> </w:t>
      </w:r>
    </w:p>
    <w:p w:rsidR="00C96E7C" w:rsidRPr="006873C7" w:rsidRDefault="00C96E7C" w:rsidP="005B7883">
      <w:pPr>
        <w:pStyle w:val="Textbezodsazen"/>
        <w:rPr>
          <w:rStyle w:val="Tun"/>
        </w:rPr>
      </w:pPr>
      <w:r w:rsidRPr="006873C7">
        <w:rPr>
          <w:rStyle w:val="Tun"/>
        </w:rPr>
        <w:t>Pod-článek 4.27 (e)</w:t>
      </w:r>
      <w:r w:rsidR="00582C15" w:rsidRPr="006873C7">
        <w:rPr>
          <w:rStyle w:val="Tun"/>
        </w:rPr>
        <w:t xml:space="preserve"> a </w:t>
      </w:r>
      <w:r w:rsidRPr="006873C7">
        <w:rPr>
          <w:rStyle w:val="Tun"/>
        </w:rPr>
        <w:t>pod-článek 8.7</w:t>
      </w:r>
    </w:p>
    <w:p w:rsidR="00C96E7C" w:rsidRDefault="00C96E7C" w:rsidP="005D168C">
      <w:pPr>
        <w:pStyle w:val="Textbezodsazen"/>
      </w:pPr>
      <w:r w:rsidRPr="006873C7">
        <w:lastRenderedPageBreak/>
        <w:t>Zhotovitel je povinen uhradit smluvní pokutu ve výši 0,1 %</w:t>
      </w:r>
      <w:r w:rsidR="00582C15" w:rsidRPr="006873C7">
        <w:t xml:space="preserve"> z </w:t>
      </w:r>
      <w:r w:rsidRPr="006873C7">
        <w:t>části Smluvní ceny odpovídající příslušnému stavebnímu objektu nebo provoznímu souboru, který nemohl být uveden do provozu,</w:t>
      </w:r>
      <w:r w:rsidR="00582C15" w:rsidRPr="006873C7">
        <w:t xml:space="preserve"> a </w:t>
      </w:r>
      <w:r w:rsidRPr="006873C7">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6873C7">
        <w:t>Zhotovitel je povinen uhradit smluvní pokutu ve výši 0,05 %</w:t>
      </w:r>
      <w:r w:rsidR="00582C15" w:rsidRPr="006873C7">
        <w:t xml:space="preserve"> z </w:t>
      </w:r>
      <w:r w:rsidRPr="006873C7">
        <w:t>části Smluvní ceny odpovídající příslušnému stavebnímu objektu nebo provoznímu souboru, kterých se nedokončená práce, vada nebo poškození týká,</w:t>
      </w:r>
      <w:r w:rsidR="00582C15" w:rsidRPr="006873C7">
        <w:t xml:space="preserve"> a </w:t>
      </w:r>
      <w:r w:rsidRPr="006873C7">
        <w:t>to za každý jednotlivý případ</w:t>
      </w:r>
      <w:r w:rsidR="00582C15" w:rsidRPr="006873C7">
        <w:t xml:space="preserve"> a </w:t>
      </w:r>
      <w:r w:rsidRPr="006873C7">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lastRenderedPageBreak/>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C96E7C" w:rsidRDefault="006873C7" w:rsidP="006873C7">
      <w:pPr>
        <w:pStyle w:val="Textbezodsazen"/>
      </w:pPr>
      <w:r w:rsidRPr="006873C7">
        <w:t>Pro provádění Díla nejsou stanoveny postupné závazné milníky.</w:t>
      </w:r>
      <w:r w:rsidRPr="006873C7">
        <w:rPr>
          <w:highlight w:val="green"/>
        </w:rPr>
        <w:t xml:space="preserve"> </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8.2, 8.4 Doba pro dokončení, Prodloužení doby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6873C7" w:rsidRPr="006873C7">
        <w:rPr>
          <w:b/>
        </w:rPr>
        <w:t>28 měsíců</w:t>
      </w:r>
      <w:r>
        <w:t xml:space="preserve"> od Data zahájení prací.</w:t>
      </w:r>
    </w:p>
    <w:p w:rsidR="00C96E7C" w:rsidRDefault="00C96E7C" w:rsidP="000F67F8">
      <w:pPr>
        <w:pStyle w:val="Textbezodsazen"/>
        <w:spacing w:after="0"/>
      </w:pPr>
      <w:r w:rsidRPr="000F67F8">
        <w:t>Lhůty uvedené</w:t>
      </w:r>
      <w:r w:rsidR="00582C15" w:rsidRPr="000F67F8">
        <w:t xml:space="preserve"> v </w:t>
      </w:r>
      <w:r w:rsidRPr="000F67F8">
        <w:t>Pod-článku 7.9 Smluvních podmínek se</w:t>
      </w:r>
      <w:r w:rsidR="00582C15" w:rsidRPr="000F67F8">
        <w:t xml:space="preserve"> v </w:t>
      </w:r>
      <w:r w:rsidRPr="000F67F8">
        <w:t xml:space="preserve">případě této Smlouvy nepoužijí. Lhůty jsou stanovené takto: </w:t>
      </w:r>
    </w:p>
    <w:p w:rsidR="000F67F8" w:rsidRDefault="000F67F8" w:rsidP="000F67F8">
      <w:pPr>
        <w:pStyle w:val="Textbezodsazen"/>
        <w:spacing w:after="0"/>
      </w:pPr>
      <w:r w:rsidRPr="000F67F8">
        <w:t xml:space="preserve">Zpracování geodetické části DSPS, kompletní technické části DSPS, předání posouzení interoperability a osvědčení o bezpečnosti: předání </w:t>
      </w:r>
      <w:r w:rsidRPr="000F67F8">
        <w:rPr>
          <w:b/>
        </w:rPr>
        <w:t>do 7 měsíců</w:t>
      </w:r>
      <w:r w:rsidRPr="000F67F8">
        <w:t xml:space="preserve"> ode dne vydání posledního Potvrzení o převzetí části Díla vyjma následné úpravy směrového a výškového uspořádání koleje </w:t>
      </w:r>
      <w:r w:rsidRPr="00A937A6">
        <w:t>– viz SO uvedené níže.</w:t>
      </w:r>
    </w:p>
    <w:p w:rsidR="00C96E7C" w:rsidRDefault="00C96E7C" w:rsidP="005B7883">
      <w:pPr>
        <w:pStyle w:val="Nadpisbezsl1-2"/>
      </w:pPr>
      <w:r>
        <w:lastRenderedPageBreak/>
        <w:t>8.2, 1.1.3.10 Doba pro uvedení do provozu</w:t>
      </w:r>
    </w:p>
    <w:p w:rsidR="00C96E7C" w:rsidRDefault="00C96E7C" w:rsidP="005D168C">
      <w:pPr>
        <w:pStyle w:val="Textbezodsazen"/>
      </w:pPr>
      <w:r>
        <w:t xml:space="preserve">Zhotovitel je povinen </w:t>
      </w:r>
      <w:r w:rsidRPr="000F67F8">
        <w:t>dokončit Dílo</w:t>
      </w:r>
      <w:r w:rsidR="00582C15" w:rsidRPr="000F67F8">
        <w:t xml:space="preserve"> v </w:t>
      </w:r>
      <w:r w:rsidRPr="000F67F8">
        <w:t>rozsahu nezbytném pro účely uvedení Díla do provozu za podmínek stavebního zákona</w:t>
      </w:r>
      <w:r w:rsidR="00582C15" w:rsidRPr="000F67F8">
        <w:t xml:space="preserve"> a </w:t>
      </w:r>
      <w:r w:rsidRPr="000F67F8">
        <w:t>zákona</w:t>
      </w:r>
      <w:r w:rsidR="00582C15" w:rsidRPr="000F67F8">
        <w:t xml:space="preserve"> o </w:t>
      </w:r>
      <w:r w:rsidRPr="000F67F8">
        <w:t xml:space="preserve">drahách nejpozději do </w:t>
      </w:r>
      <w:r w:rsidR="000F67F8" w:rsidRPr="000F67F8">
        <w:rPr>
          <w:b/>
        </w:rPr>
        <w:t>21</w:t>
      </w:r>
      <w:r w:rsidRPr="000F67F8">
        <w:rPr>
          <w:b/>
        </w:rPr>
        <w:t xml:space="preserve"> měsíců</w:t>
      </w:r>
      <w:r w:rsidRPr="000F67F8">
        <w:t xml:space="preserve"> </w:t>
      </w:r>
      <w:r w:rsidR="000F67F8">
        <w:t>od Data zahájení prací,</w:t>
      </w:r>
      <w:r w:rsidRPr="000F67F8">
        <w:t xml:space="preserve"> </w:t>
      </w:r>
      <w:r w:rsidR="000F67F8" w:rsidRPr="000F67F8">
        <w:t xml:space="preserve">vyjma následné úpravy směrového a výškového uspořádání </w:t>
      </w:r>
      <w:r w:rsidR="000F67F8" w:rsidRPr="007E201F">
        <w:t>koleje (</w:t>
      </w:r>
      <w:r w:rsidR="00A81317" w:rsidRPr="007E201F">
        <w:t>SO</w:t>
      </w:r>
      <w:r w:rsidR="00A81317" w:rsidRPr="00A937A6">
        <w:t xml:space="preserve"> 03-17-01</w:t>
      </w:r>
      <w:r w:rsidR="00A937A6" w:rsidRPr="00A937A6">
        <w:t>.1</w:t>
      </w:r>
      <w:r w:rsidR="00A81317" w:rsidRPr="00A937A6">
        <w:t xml:space="preserve"> </w:t>
      </w:r>
      <w:proofErr w:type="spellStart"/>
      <w:r w:rsidR="00A81317" w:rsidRPr="00A937A6">
        <w:t>Žst</w:t>
      </w:r>
      <w:proofErr w:type="spellEnd"/>
      <w:r w:rsidR="00A81317" w:rsidRPr="00A937A6">
        <w:t>. Střelice, železniční svršek</w:t>
      </w:r>
      <w:r w:rsidR="00A937A6" w:rsidRPr="00A937A6">
        <w:t>, závěrečné podbití</w:t>
      </w:r>
      <w:r w:rsidR="000F67F8" w:rsidRPr="00A937A6">
        <w:t xml:space="preserve">; </w:t>
      </w:r>
      <w:r w:rsidR="00A81317" w:rsidRPr="00A937A6">
        <w:t>SO 04-17-01.1</w:t>
      </w:r>
      <w:r w:rsidR="00A937A6" w:rsidRPr="00A937A6">
        <w:t>1</w:t>
      </w:r>
      <w:r w:rsidR="00A81317" w:rsidRPr="00A937A6">
        <w:t xml:space="preserve"> Střelice - Tetčice, železniční svršek </w:t>
      </w:r>
      <w:r w:rsidR="000F67F8" w:rsidRPr="00A937A6">
        <w:t xml:space="preserve">– </w:t>
      </w:r>
      <w:r w:rsidR="00A937A6" w:rsidRPr="00A937A6">
        <w:t>závěrečné podbití</w:t>
      </w:r>
      <w:r w:rsidR="000F67F8" w:rsidRPr="00A937A6">
        <w:t xml:space="preserve">), které bude provedeno do </w:t>
      </w:r>
      <w:r w:rsidR="000F67F8" w:rsidRPr="00A937A6">
        <w:rPr>
          <w:b/>
        </w:rPr>
        <w:t>6 měsíců</w:t>
      </w:r>
      <w:r w:rsidR="000F67F8" w:rsidRPr="000F67F8">
        <w:t xml:space="preserve"> ode dne uvedení do provozu.</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r>
        <w:t xml:space="preserve">13.1 Právo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t>13.8 Úpravy</w:t>
      </w:r>
      <w:r w:rsidR="00582C15">
        <w:t xml:space="preserve"> </w:t>
      </w:r>
      <w:r w:rsidR="00071A0E">
        <w:t xml:space="preserve">cen </w:t>
      </w:r>
      <w:r w:rsidR="00582C15">
        <w:t>v </w:t>
      </w:r>
      <w:r>
        <w:t>důsledku změn nákladů</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lastRenderedPageBreak/>
        <w:t>14.2 Zálohová platba</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A81317">
        <w:t xml:space="preserve">rovnající se </w:t>
      </w:r>
      <w:r w:rsidR="00A81317" w:rsidRPr="00A81317">
        <w:t>20</w:t>
      </w:r>
      <w:r w:rsidRPr="00A81317">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lastRenderedPageBreak/>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r>
        <w:t>14.5 Technologické materiály určené pro dílo</w:t>
      </w:r>
    </w:p>
    <w:p w:rsidR="005E3E5A" w:rsidRPr="005E1B97" w:rsidRDefault="005E3E5A" w:rsidP="005E3E5A">
      <w:pPr>
        <w:pStyle w:val="Textbezodsazen"/>
        <w:rPr>
          <w:rFonts w:ascii="Verdana" w:hAnsi="Verdana"/>
          <w:iCs/>
        </w:rPr>
      </w:pPr>
      <w:r w:rsidRPr="005E1B97">
        <w:rPr>
          <w:rFonts w:ascii="Verdana" w:hAnsi="Verdana"/>
          <w:iCs/>
        </w:rPr>
        <w:t xml:space="preserve">Technologické zařízení a Materiály k zaplacení po dodání na Staveniště dle Pod-článku </w:t>
      </w:r>
      <w:proofErr w:type="gramStart"/>
      <w:r w:rsidRPr="005E1B97">
        <w:rPr>
          <w:rFonts w:ascii="Verdana" w:hAnsi="Verdana"/>
          <w:iCs/>
        </w:rPr>
        <w:t>14.5 (c) (seznam</w:t>
      </w:r>
      <w:proofErr w:type="gramEnd"/>
      <w:r w:rsidRPr="005E1B97">
        <w:rPr>
          <w:rFonts w:ascii="Verdana" w:hAnsi="Verdana"/>
          <w:iCs/>
        </w:rPr>
        <w:t>):</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 xml:space="preserve">železniční svršek (např. </w:t>
      </w:r>
      <w:r w:rsidR="0002155C">
        <w:rPr>
          <w:rFonts w:ascii="Verdana" w:hAnsi="Verdana"/>
          <w:iCs/>
        </w:rPr>
        <w:t xml:space="preserve">kolejnice, </w:t>
      </w:r>
      <w:r w:rsidRPr="005E1B97">
        <w:rPr>
          <w:rFonts w:ascii="Verdana" w:hAnsi="Verdana"/>
          <w:iCs/>
        </w:rPr>
        <w:t xml:space="preserve">výhybky, </w:t>
      </w:r>
      <w:r w:rsidR="0002155C">
        <w:rPr>
          <w:rFonts w:ascii="Verdana" w:hAnsi="Verdana"/>
          <w:iCs/>
        </w:rPr>
        <w:t xml:space="preserve">pražce, </w:t>
      </w:r>
      <w:bookmarkStart w:id="0" w:name="_GoBack"/>
      <w:bookmarkEnd w:id="0"/>
      <w:r w:rsidRPr="005E1B97">
        <w:rPr>
          <w:rFonts w:ascii="Verdana" w:hAnsi="Verdana"/>
          <w:iCs/>
        </w:rPr>
        <w:t>výhybkové pražce, drobné kolejivo);</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železniční spodek (např. izolační systémy, prefabrikované konstrukce nástupišť);</w:t>
      </w:r>
    </w:p>
    <w:p w:rsidR="005E3E5A" w:rsidRPr="005E1B97" w:rsidRDefault="005E3E5A" w:rsidP="005E3E5A">
      <w:pPr>
        <w:pStyle w:val="Textbezodsazen"/>
        <w:numPr>
          <w:ilvl w:val="0"/>
          <w:numId w:val="31"/>
        </w:numPr>
        <w:rPr>
          <w:rFonts w:ascii="Verdana" w:hAnsi="Verdana"/>
          <w:iCs/>
        </w:rPr>
      </w:pPr>
      <w:proofErr w:type="spellStart"/>
      <w:r w:rsidRPr="005E1B97">
        <w:rPr>
          <w:rFonts w:ascii="Verdana" w:hAnsi="Verdana"/>
          <w:iCs/>
        </w:rPr>
        <w:t>kabelovody</w:t>
      </w:r>
      <w:proofErr w:type="spellEnd"/>
      <w:r w:rsidRPr="005E1B97">
        <w:rPr>
          <w:rFonts w:ascii="Verdana" w:hAnsi="Verdana"/>
          <w:iCs/>
        </w:rPr>
        <w:t xml:space="preserve"> (např. komponenty kabelových tras, multikanálové dílce, izolační systémy);</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mosty, propustky a zdi (materiálové části objektů, např. ocelové výztužné prvky nosných konstrukcí, prefabrikované konstrukce, vybavení mostních objektů, izolační systémy);</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 xml:space="preserve">trakce (např. sloupy a stožáry TV, trolejové dráty, nosná lana, odpojovače, vodiče, </w:t>
      </w:r>
      <w:proofErr w:type="spellStart"/>
      <w:r w:rsidRPr="005E1B97">
        <w:rPr>
          <w:rFonts w:ascii="Verdana" w:hAnsi="Verdana"/>
          <w:iCs/>
        </w:rPr>
        <w:t>ukolejnění</w:t>
      </w:r>
      <w:proofErr w:type="spellEnd"/>
      <w:r w:rsidRPr="005E1B97">
        <w:rPr>
          <w:rFonts w:ascii="Verdana" w:hAnsi="Verdana"/>
          <w:iCs/>
        </w:rPr>
        <w:t>);</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elektro (např. rozvaděče, měnírny, transformátory, kabelové vedení, komponenty DDTS, materiál pro elektrické rozvody, zařízení EOV);</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 xml:space="preserve">zabezpečovací zařízení (např. skříně vnitřní výstroje elektronického stavědla, zařízení GTN, skříně DOZ, napájecí zdroje, elektromotorické přestavníky, návěstidla, venkovní výstroj KO a </w:t>
      </w:r>
      <w:proofErr w:type="spellStart"/>
      <w:r w:rsidRPr="005E1B97">
        <w:rPr>
          <w:rFonts w:ascii="Verdana" w:hAnsi="Verdana"/>
          <w:iCs/>
        </w:rPr>
        <w:t>PčN</w:t>
      </w:r>
      <w:proofErr w:type="spellEnd"/>
      <w:r w:rsidRPr="005E1B97">
        <w:rPr>
          <w:rFonts w:ascii="Verdana" w:hAnsi="Verdana"/>
          <w:iCs/>
        </w:rPr>
        <w:t>, kabelové vedení, snímače);</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sdělovací zařízení (např. telefonní ústředny, rozhlasové ústředny, informační systémy, přenosový systém [</w:t>
      </w:r>
      <w:proofErr w:type="spellStart"/>
      <w:r w:rsidRPr="005E1B97">
        <w:rPr>
          <w:rFonts w:ascii="Verdana" w:hAnsi="Verdana"/>
          <w:iCs/>
        </w:rPr>
        <w:t>switche</w:t>
      </w:r>
      <w:proofErr w:type="spellEnd"/>
      <w:r w:rsidRPr="005E1B97">
        <w:rPr>
          <w:rFonts w:ascii="Verdana" w:hAnsi="Verdana"/>
          <w:iCs/>
        </w:rPr>
        <w:t xml:space="preserve">, </w:t>
      </w:r>
      <w:proofErr w:type="spellStart"/>
      <w:r w:rsidRPr="005E1B97">
        <w:rPr>
          <w:rFonts w:ascii="Verdana" w:hAnsi="Verdana"/>
          <w:iCs/>
        </w:rPr>
        <w:t>routery</w:t>
      </w:r>
      <w:proofErr w:type="spellEnd"/>
      <w:r w:rsidRPr="005E1B97">
        <w:rPr>
          <w:rFonts w:ascii="Verdana" w:hAnsi="Verdana"/>
          <w:iCs/>
        </w:rPr>
        <w:t>, převodníky], kamerový systém, ASHS, EZS, kabelové vedení);</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železní přejezdy (např. výstražníky, sloupky, konstrukce vozovky);</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pozemní objekty (např. izolační systémy, materiál obvodových stěn, výplně otvorů, krytiny, vybavení objektů, klempířské konstrukce);</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 xml:space="preserve">protihlukové objekty (např. části PHS jako sloupky, výplně, klempířské konstrukce, </w:t>
      </w:r>
      <w:proofErr w:type="spellStart"/>
      <w:r w:rsidRPr="005E1B97">
        <w:rPr>
          <w:rFonts w:ascii="Verdana" w:hAnsi="Verdana"/>
          <w:iCs/>
        </w:rPr>
        <w:t>ukolejnění</w:t>
      </w:r>
      <w:proofErr w:type="spellEnd"/>
      <w:r w:rsidRPr="005E1B97">
        <w:rPr>
          <w:rFonts w:ascii="Verdana" w:hAnsi="Verdana"/>
          <w:iCs/>
        </w:rPr>
        <w:t>);</w:t>
      </w:r>
    </w:p>
    <w:p w:rsidR="005E3E5A" w:rsidRPr="005E1B97" w:rsidRDefault="005E3E5A" w:rsidP="005E3E5A">
      <w:pPr>
        <w:pStyle w:val="Textbezodsazen"/>
        <w:numPr>
          <w:ilvl w:val="0"/>
          <w:numId w:val="31"/>
        </w:numPr>
        <w:rPr>
          <w:rFonts w:ascii="Verdana" w:hAnsi="Verdana"/>
          <w:iCs/>
        </w:rPr>
      </w:pPr>
      <w:r w:rsidRPr="005E1B97">
        <w:rPr>
          <w:rFonts w:ascii="Verdana" w:hAnsi="Verdana"/>
          <w:iCs/>
        </w:rPr>
        <w:t>pozemní komunikace (např. části odvodnění, konstrukcí vrstvy, bezpečnostní prvky).</w:t>
      </w:r>
    </w:p>
    <w:p w:rsidR="005E3E5A" w:rsidRDefault="005E3E5A" w:rsidP="00582C15">
      <w:pPr>
        <w:pStyle w:val="Textbezodsazen"/>
      </w:pP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lastRenderedPageBreak/>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w:t>
      </w:r>
      <w:proofErr w:type="spellStart"/>
      <w:r>
        <w:t>claimů</w:t>
      </w:r>
      <w:proofErr w:type="spellEnd"/>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8"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sectPr w:rsidR="00C96E7C" w:rsidSect="008825B2">
      <w:headerReference w:type="default" r:id="rId19"/>
      <w:footerReference w:type="default" r:id="rId20"/>
      <w:headerReference w:type="first" r:id="rId21"/>
      <w:footerReference w:type="first" r:id="rId22"/>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0FE" w:rsidRDefault="002650FE" w:rsidP="00962258">
      <w:pPr>
        <w:spacing w:after="0" w:line="240" w:lineRule="auto"/>
      </w:pPr>
      <w:r>
        <w:separator/>
      </w:r>
    </w:p>
  </w:endnote>
  <w:endnote w:type="continuationSeparator" w:id="0">
    <w:p w:rsidR="002650FE" w:rsidRDefault="002650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155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155C">
            <w:rPr>
              <w:rStyle w:val="slostrnky"/>
              <w:noProof/>
            </w:rPr>
            <w:t>9</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56" w:rsidRPr="000C40E5" w:rsidRDefault="000E0B11" w:rsidP="00394C56">
    <w:pPr>
      <w:pStyle w:val="Zpat"/>
      <w:rPr>
        <w:rFonts w:cs="Calibri"/>
        <w:szCs w:val="12"/>
      </w:rPr>
    </w:pPr>
    <w:r>
      <w:rPr>
        <w:noProof/>
        <w:lang w:eastAsia="cs-CZ"/>
      </w:rPr>
      <w:drawing>
        <wp:anchor distT="0" distB="0" distL="114300" distR="114300" simplePos="0" relativeHeight="251670528" behindDoc="0" locked="0" layoutInCell="1" allowOverlap="1" wp14:anchorId="40892E7F" wp14:editId="69C99401">
          <wp:simplePos x="0" y="0"/>
          <wp:positionH relativeFrom="column">
            <wp:posOffset>-437515</wp:posOffset>
          </wp:positionH>
          <wp:positionV relativeFrom="paragraph">
            <wp:posOffset>-368300</wp:posOffset>
          </wp:positionV>
          <wp:extent cx="5939790" cy="949960"/>
          <wp:effectExtent l="0" t="0" r="3810" b="2540"/>
          <wp:wrapTopAndBottom/>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a EU_MD+OPD+SFDI"/>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3932">
      <w:tab/>
    </w: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0FE" w:rsidRDefault="002650FE" w:rsidP="00962258">
      <w:pPr>
        <w:spacing w:after="0" w:line="240" w:lineRule="auto"/>
      </w:pPr>
      <w:r>
        <w:separator/>
      </w:r>
    </w:p>
  </w:footnote>
  <w:footnote w:type="continuationSeparator" w:id="0">
    <w:p w:rsidR="002650FE" w:rsidRDefault="002650F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F2F5543" wp14:editId="45E6C10F">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8BA7E99"/>
    <w:multiLevelType w:val="hybridMultilevel"/>
    <w:tmpl w:val="0B503D82"/>
    <w:lvl w:ilvl="0" w:tplc="1ACC483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06232A6"/>
    <w:multiLevelType w:val="hybridMultilevel"/>
    <w:tmpl w:val="8B1AFA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7E445D"/>
    <w:multiLevelType w:val="multilevel"/>
    <w:tmpl w:val="B60672B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ED51A05"/>
    <w:multiLevelType w:val="hybridMultilevel"/>
    <w:tmpl w:val="B83EC4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4070991"/>
    <w:multiLevelType w:val="multilevel"/>
    <w:tmpl w:val="CABE99FC"/>
    <w:numStyleLink w:val="ListNumbermultilevel"/>
  </w:abstractNum>
  <w:abstractNum w:abstractNumId="13">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num>
  <w:num w:numId="8">
    <w:abstractNumId w:val="11"/>
  </w:num>
  <w:num w:numId="9">
    <w:abstractNumId w:val="0"/>
  </w:num>
  <w:num w:numId="10">
    <w:abstractNumId w:val="4"/>
  </w:num>
  <w:num w:numId="11">
    <w:abstractNumId w:val="13"/>
  </w:num>
  <w:num w:numId="12">
    <w:abstractNumId w:val="0"/>
  </w:num>
  <w:num w:numId="13">
    <w:abstractNumId w:val="4"/>
  </w:num>
  <w:num w:numId="14">
    <w:abstractNumId w:val="4"/>
  </w:num>
  <w:num w:numId="15">
    <w:abstractNumId w:val="7"/>
  </w:num>
  <w:num w:numId="16">
    <w:abstractNumId w:val="7"/>
  </w:num>
  <w:num w:numId="17">
    <w:abstractNumId w:val="7"/>
  </w:num>
  <w:num w:numId="18">
    <w:abstractNumId w:val="10"/>
  </w:num>
  <w:num w:numId="19">
    <w:abstractNumId w:val="10"/>
  </w:num>
  <w:num w:numId="20">
    <w:abstractNumId w:val="10"/>
  </w:num>
  <w:num w:numId="21">
    <w:abstractNumId w:val="11"/>
  </w:num>
  <w:num w:numId="22">
    <w:abstractNumId w:val="0"/>
  </w:num>
  <w:num w:numId="23">
    <w:abstractNumId w:val="0"/>
  </w:num>
  <w:num w:numId="24">
    <w:abstractNumId w:val="4"/>
  </w:num>
  <w:num w:numId="25">
    <w:abstractNumId w:val="4"/>
  </w:num>
  <w:num w:numId="26">
    <w:abstractNumId w:val="13"/>
  </w:num>
  <w:num w:numId="27">
    <w:abstractNumId w:val="8"/>
  </w:num>
  <w:num w:numId="28">
    <w:abstractNumId w:val="3"/>
  </w:num>
  <w:num w:numId="29">
    <w:abstractNumId w:val="9"/>
  </w:num>
  <w:num w:numId="30">
    <w:abstractNumId w:val="2"/>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2155C"/>
    <w:rsid w:val="00041EC8"/>
    <w:rsid w:val="0006588D"/>
    <w:rsid w:val="00067A5E"/>
    <w:rsid w:val="000719BB"/>
    <w:rsid w:val="00071A0E"/>
    <w:rsid w:val="00072A65"/>
    <w:rsid w:val="00072C1E"/>
    <w:rsid w:val="000A2970"/>
    <w:rsid w:val="000B4EB8"/>
    <w:rsid w:val="000C40E5"/>
    <w:rsid w:val="000C41F2"/>
    <w:rsid w:val="000D22C4"/>
    <w:rsid w:val="000D27D1"/>
    <w:rsid w:val="000E0B11"/>
    <w:rsid w:val="000E1A7F"/>
    <w:rsid w:val="000F4591"/>
    <w:rsid w:val="000F67F8"/>
    <w:rsid w:val="00112864"/>
    <w:rsid w:val="00114472"/>
    <w:rsid w:val="00114988"/>
    <w:rsid w:val="00115069"/>
    <w:rsid w:val="001150F2"/>
    <w:rsid w:val="0012024F"/>
    <w:rsid w:val="00145961"/>
    <w:rsid w:val="00152473"/>
    <w:rsid w:val="00152D40"/>
    <w:rsid w:val="001656A2"/>
    <w:rsid w:val="00165CC9"/>
    <w:rsid w:val="00170EC5"/>
    <w:rsid w:val="001747C1"/>
    <w:rsid w:val="00177D6B"/>
    <w:rsid w:val="00191F90"/>
    <w:rsid w:val="001B4E74"/>
    <w:rsid w:val="001C645F"/>
    <w:rsid w:val="001E3C56"/>
    <w:rsid w:val="001E678E"/>
    <w:rsid w:val="002071BB"/>
    <w:rsid w:val="00207DF5"/>
    <w:rsid w:val="0023464E"/>
    <w:rsid w:val="00235D7C"/>
    <w:rsid w:val="00240B81"/>
    <w:rsid w:val="00244767"/>
    <w:rsid w:val="00247D01"/>
    <w:rsid w:val="00261A5B"/>
    <w:rsid w:val="00262E5B"/>
    <w:rsid w:val="002650FE"/>
    <w:rsid w:val="00276AFE"/>
    <w:rsid w:val="002A3B57"/>
    <w:rsid w:val="002C31BF"/>
    <w:rsid w:val="002D7FD6"/>
    <w:rsid w:val="002E0CD7"/>
    <w:rsid w:val="002E0CFB"/>
    <w:rsid w:val="002E5C7B"/>
    <w:rsid w:val="002F4333"/>
    <w:rsid w:val="00312C4C"/>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E0643"/>
    <w:rsid w:val="004E7A1F"/>
    <w:rsid w:val="004F4B9B"/>
    <w:rsid w:val="0050666E"/>
    <w:rsid w:val="00511AB9"/>
    <w:rsid w:val="0052086D"/>
    <w:rsid w:val="00523BB5"/>
    <w:rsid w:val="00523EA7"/>
    <w:rsid w:val="005406EB"/>
    <w:rsid w:val="00553375"/>
    <w:rsid w:val="00555884"/>
    <w:rsid w:val="005736B7"/>
    <w:rsid w:val="00575E5A"/>
    <w:rsid w:val="00580245"/>
    <w:rsid w:val="00582C15"/>
    <w:rsid w:val="005A1F44"/>
    <w:rsid w:val="005B7883"/>
    <w:rsid w:val="005D168C"/>
    <w:rsid w:val="005D3C39"/>
    <w:rsid w:val="005E1B97"/>
    <w:rsid w:val="005E3E5A"/>
    <w:rsid w:val="005F3E29"/>
    <w:rsid w:val="005F4085"/>
    <w:rsid w:val="00601A8C"/>
    <w:rsid w:val="00605DD8"/>
    <w:rsid w:val="0061012B"/>
    <w:rsid w:val="0061068E"/>
    <w:rsid w:val="006115D3"/>
    <w:rsid w:val="0062418A"/>
    <w:rsid w:val="0065610E"/>
    <w:rsid w:val="00660AD3"/>
    <w:rsid w:val="00673932"/>
    <w:rsid w:val="006776B6"/>
    <w:rsid w:val="00680727"/>
    <w:rsid w:val="006873C7"/>
    <w:rsid w:val="00693150"/>
    <w:rsid w:val="006946D9"/>
    <w:rsid w:val="00695A31"/>
    <w:rsid w:val="006A5570"/>
    <w:rsid w:val="006A689C"/>
    <w:rsid w:val="006B3D79"/>
    <w:rsid w:val="006B6FE4"/>
    <w:rsid w:val="006C2343"/>
    <w:rsid w:val="006C442A"/>
    <w:rsid w:val="006E0578"/>
    <w:rsid w:val="006E314D"/>
    <w:rsid w:val="00705CBA"/>
    <w:rsid w:val="00710723"/>
    <w:rsid w:val="00723ED1"/>
    <w:rsid w:val="00724221"/>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E201F"/>
    <w:rsid w:val="007E4A6E"/>
    <w:rsid w:val="007F56A7"/>
    <w:rsid w:val="00800851"/>
    <w:rsid w:val="00807DD0"/>
    <w:rsid w:val="008123B6"/>
    <w:rsid w:val="00821D01"/>
    <w:rsid w:val="00826B7B"/>
    <w:rsid w:val="00846789"/>
    <w:rsid w:val="008602BD"/>
    <w:rsid w:val="00870145"/>
    <w:rsid w:val="008825B2"/>
    <w:rsid w:val="008A3568"/>
    <w:rsid w:val="008B01FE"/>
    <w:rsid w:val="008B0618"/>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36091"/>
    <w:rsid w:val="00940D8A"/>
    <w:rsid w:val="00962258"/>
    <w:rsid w:val="009678B7"/>
    <w:rsid w:val="00992D9C"/>
    <w:rsid w:val="00996CB8"/>
    <w:rsid w:val="009B2E97"/>
    <w:rsid w:val="009B5146"/>
    <w:rsid w:val="009C418E"/>
    <w:rsid w:val="009C442C"/>
    <w:rsid w:val="009E07F4"/>
    <w:rsid w:val="009F0BC6"/>
    <w:rsid w:val="009F309B"/>
    <w:rsid w:val="009F392E"/>
    <w:rsid w:val="009F53C5"/>
    <w:rsid w:val="00A0740E"/>
    <w:rsid w:val="00A318A8"/>
    <w:rsid w:val="00A50641"/>
    <w:rsid w:val="00A530BF"/>
    <w:rsid w:val="00A6177B"/>
    <w:rsid w:val="00A66136"/>
    <w:rsid w:val="00A71189"/>
    <w:rsid w:val="00A7364A"/>
    <w:rsid w:val="00A74DCC"/>
    <w:rsid w:val="00A753ED"/>
    <w:rsid w:val="00A77512"/>
    <w:rsid w:val="00A81317"/>
    <w:rsid w:val="00A937A6"/>
    <w:rsid w:val="00A94C2F"/>
    <w:rsid w:val="00AA4CBB"/>
    <w:rsid w:val="00AA65FA"/>
    <w:rsid w:val="00AA7351"/>
    <w:rsid w:val="00AD056F"/>
    <w:rsid w:val="00AD0C7B"/>
    <w:rsid w:val="00AD5F1A"/>
    <w:rsid w:val="00AD6592"/>
    <w:rsid w:val="00AD6731"/>
    <w:rsid w:val="00AD7B08"/>
    <w:rsid w:val="00AF0E06"/>
    <w:rsid w:val="00B008D5"/>
    <w:rsid w:val="00B02F73"/>
    <w:rsid w:val="00B0619F"/>
    <w:rsid w:val="00B13A26"/>
    <w:rsid w:val="00B15D0D"/>
    <w:rsid w:val="00B22106"/>
    <w:rsid w:val="00B30E16"/>
    <w:rsid w:val="00B5431A"/>
    <w:rsid w:val="00B75EE1"/>
    <w:rsid w:val="00B77481"/>
    <w:rsid w:val="00B8518B"/>
    <w:rsid w:val="00B97CC3"/>
    <w:rsid w:val="00BC05F2"/>
    <w:rsid w:val="00BC06C4"/>
    <w:rsid w:val="00BD7E91"/>
    <w:rsid w:val="00BD7F0D"/>
    <w:rsid w:val="00BF5233"/>
    <w:rsid w:val="00C02D0A"/>
    <w:rsid w:val="00C03A6E"/>
    <w:rsid w:val="00C226C0"/>
    <w:rsid w:val="00C33406"/>
    <w:rsid w:val="00C42FE6"/>
    <w:rsid w:val="00C44F6A"/>
    <w:rsid w:val="00C6198E"/>
    <w:rsid w:val="00C708EA"/>
    <w:rsid w:val="00C732F0"/>
    <w:rsid w:val="00C778A5"/>
    <w:rsid w:val="00C95162"/>
    <w:rsid w:val="00C96E7C"/>
    <w:rsid w:val="00CA5A14"/>
    <w:rsid w:val="00CB6A37"/>
    <w:rsid w:val="00CB7684"/>
    <w:rsid w:val="00CC7C8F"/>
    <w:rsid w:val="00CD1FC4"/>
    <w:rsid w:val="00CF2351"/>
    <w:rsid w:val="00D034A0"/>
    <w:rsid w:val="00D21061"/>
    <w:rsid w:val="00D246FC"/>
    <w:rsid w:val="00D36EA0"/>
    <w:rsid w:val="00D4108E"/>
    <w:rsid w:val="00D435C3"/>
    <w:rsid w:val="00D51C92"/>
    <w:rsid w:val="00D6163D"/>
    <w:rsid w:val="00D831A3"/>
    <w:rsid w:val="00D97BE3"/>
    <w:rsid w:val="00DA3711"/>
    <w:rsid w:val="00DD46F3"/>
    <w:rsid w:val="00DE56F2"/>
    <w:rsid w:val="00DF116D"/>
    <w:rsid w:val="00E16FF7"/>
    <w:rsid w:val="00E26D68"/>
    <w:rsid w:val="00E37BAF"/>
    <w:rsid w:val="00E41EEA"/>
    <w:rsid w:val="00E44045"/>
    <w:rsid w:val="00E46253"/>
    <w:rsid w:val="00E5347C"/>
    <w:rsid w:val="00E618C4"/>
    <w:rsid w:val="00E72324"/>
    <w:rsid w:val="00E878EE"/>
    <w:rsid w:val="00EA6EC7"/>
    <w:rsid w:val="00EB104F"/>
    <w:rsid w:val="00EB46E5"/>
    <w:rsid w:val="00EC63FF"/>
    <w:rsid w:val="00ED14BD"/>
    <w:rsid w:val="00F016C7"/>
    <w:rsid w:val="00F12DEC"/>
    <w:rsid w:val="00F1715C"/>
    <w:rsid w:val="00F310F8"/>
    <w:rsid w:val="00F35939"/>
    <w:rsid w:val="00F45607"/>
    <w:rsid w:val="00F4722B"/>
    <w:rsid w:val="00F54432"/>
    <w:rsid w:val="00F659EB"/>
    <w:rsid w:val="00F86BA6"/>
    <w:rsid w:val="00F957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585463">
      <w:bodyDiv w:val="1"/>
      <w:marLeft w:val="0"/>
      <w:marRight w:val="0"/>
      <w:marTop w:val="0"/>
      <w:marBottom w:val="0"/>
      <w:divBdr>
        <w:top w:val="none" w:sz="0" w:space="0" w:color="auto"/>
        <w:left w:val="none" w:sz="0" w:space="0" w:color="auto"/>
        <w:bottom w:val="none" w:sz="0" w:space="0" w:color="auto"/>
        <w:right w:val="none" w:sz="0" w:space="0" w:color="auto"/>
      </w:divBdr>
    </w:div>
    <w:div w:id="212803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ocak@szdc.cz" TargetMode="External"/><Relationship Id="rId18" Type="http://schemas.openxmlformats.org/officeDocument/2006/relationships/hyperlink" Target="file:///\\SZDC000PHANT041\dokumenty\OI\Vzorov&#225;%20ZD\R%20-%20Zhotoven&#237;%20stavby\R_Zhotoven&#237;_stavby_FIDIC_(nadlimitn&#237;)\R-FIDIC_OPD2\www.sfdi.cz\poskytovani-informaci\metodiky\"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mailto:Andratschke@szdc.cz" TargetMode="External"/><Relationship Id="rId17" Type="http://schemas.openxmlformats.org/officeDocument/2006/relationships/hyperlink" Target="mailto:kaizar@szdc.cz" TargetMode="External"/><Relationship Id="rId2" Type="http://schemas.openxmlformats.org/officeDocument/2006/relationships/customXml" Target="../customXml/item2.xml"/><Relationship Id="rId16" Type="http://schemas.openxmlformats.org/officeDocument/2006/relationships/hyperlink" Target="mailto:eichlerj@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Grecnar@szdc.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ridel@szdc.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3D7981A-435C-4223-9B78-E34F59A9D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9</Pages>
  <Words>3499</Words>
  <Characters>20647</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cp:revision>
  <cp:lastPrinted>2019-09-19T07:53:00Z</cp:lastPrinted>
  <dcterms:created xsi:type="dcterms:W3CDTF">2019-10-23T09:07:00Z</dcterms:created>
  <dcterms:modified xsi:type="dcterms:W3CDTF">2019-10-23T09:31:00Z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